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bookmarkStart w:id="0" w:name="_GoBack"/>
      <w:r w:rsidRPr="00A13AA2">
        <w:rPr>
          <w:rFonts w:ascii="Times New Roman" w:eastAsia="Times New Roman" w:hAnsi="Times New Roman" w:cs="Times New Roman"/>
          <w:color w:val="000099"/>
          <w:sz w:val="28"/>
          <w:szCs w:val="28"/>
          <w:lang w:val="kk-KZ" w:eastAsia="ru-RU"/>
        </w:rPr>
        <w:t>Тема 14. Метрология</w:t>
      </w:r>
    </w:p>
    <w:p w:rsidR="00A13AA2" w:rsidRPr="00A13AA2" w:rsidRDefault="00A13AA2" w:rsidP="00A13AA2">
      <w:pPr>
        <w:spacing w:after="0" w:line="240" w:lineRule="atLeast"/>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План лекций:</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1. Законодательные акты. Сертификация технических средств электро- и радиосвязи в РК;</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2. Цифровые измерительные приборы;</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3. Основные методы измерения мощности.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1 Законодательные акты. Сертификация технических средств электро- и радиосвязи в РК</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Метрология - наука об измерениях, методах и средствах обеспечения их единства и способах достижения требуемой точности.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Таким образом, метрология включает три взаимосвязанные проблемы: реализация процессов измерения; обеспечение их единства; методы и средства измерений.</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Широкое развитие современных цифровых технологий не обошло, да и не могло обойти такую важную отрасль деятельности, как метрология, особенно в измерениях собственно электрических параметров таких, как напряжение, ток, сопротивление. Сегодня никого не удивишь цифровыми мультиметрами , идущими на смену стрелочным приборам из прошлого века. К сожалению, на рынке Республики Казахстан достаточно много дешевых подделок, которые выглядят "так же", как и качественные приборы, но не могут дать ни достоверности измерений, ни гарантий безопасности или хотя бы работоспособности в течение гарантийного срока.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Кроме того, совершенствование законодательства в сфере метрологии, зачастую ставит в тупик метрологов и пользователей приборов, не имеющих информации о законности применения тех или иных приборов и документах, разрешающих или запрещающих такое применение.</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В данной статье мы попытались обобщить законодательные, технические и иные аспекты применения цифровых мультиметров в Республике Казахстан, основываясь на двухлетнем опыте ТОО Test Instruments (г. Алматы) на примере мультиметров UNI-T (Гонконг, Китай).</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Законодательные основы применения мультиметров.</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Выбирая мультиметр для использования его на производстве в полном соответствии с законодательством РК, мы бы рекомендовали руководствоваться следующей последовательностью действий:</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А) Проверка подлинности происхождения, а именно подтверждение, что данный прибор не является дешевой подделкой известных брендов, а выпущен и поставлен с завода изготовителя. Первым подтверждением может являться сертификат дилера, выдаваемый заводом изготовителем</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xml:space="preserve">Б) Проверка наличия обязательной сертификации на соответствие внутренним стандартам РК, предъявляемым к приборам и электрооборудованию, согласно постановления правительства РК от 29 ноября 2000 года N 1787 О контроле соответствия продукции в Республике </w:t>
      </w:r>
      <w:r w:rsidRPr="00A13AA2">
        <w:rPr>
          <w:rFonts w:ascii="Times New Roman" w:eastAsia="Times New Roman" w:hAnsi="Times New Roman" w:cs="Times New Roman"/>
          <w:color w:val="000099"/>
          <w:sz w:val="28"/>
          <w:szCs w:val="28"/>
          <w:lang w:val="kk-KZ" w:eastAsia="ru-RU"/>
        </w:rPr>
        <w:lastRenderedPageBreak/>
        <w:t>Казахстан (с изменениями, внесенными постановлениями правительства РК от 05.04.02 г. N 407; от 08.08.02 г. N 888) "Приборы и аппаратура для измерения или контроля силы тока, напряжения, сопротивления или мощности" подлежат обязательной сертификации. Кстати говоря, данный сертификат является дополнительной гарантией того, что данные приборы были завезены официально через таможню и отправителем является именно производитель, а не некий кооператив… В приложении к данному сертификату должны быть указаны серийные номера всех приборов из данной партии, прошедших обязательную сертификацию.</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В) Проверка прибора на соответствие метрологическим требованиям и возможность сдачи его на поверку. Документом, подтверждающим законность использования данного прибора для измерений является сертификат о внесении типа прибора в Госсреестр РК средств измерений, разрешенных к применению в РК..Эксплуатацию измерительных приборов в РК регулирует Закон "Об обеспечении единства измерений" от 7 июня 2000 г. N 53-II, с изменениями, внесенными Законом РК от 09.06.04 г. N 558-II. Приведем некоторые выписки из данного Закона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2 Цифровые измерительные приборы</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Цифровые вольтметры. Цифровыми измерительными приборами называются приборы, автоматически вырабатывающие дискретные сигналы измерительной информации, показания которых представляются в цифровой форме.</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Цифровые измерительные приборы обязательно включают два узла: аналого-цифровой преобразователь и цифровое отсчетное устройство. Для образования кода непрерывная величина дискретизируется по времени и по уровню так, что значение дискретной величины соответствует значению исходной непрерывной величины только в определенные моменты времени. Промежуток между соседними моментами времени называется шагом дискретизации.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Основные методы преобразования значений непрерывных величин в коды. По способу преобразования выделяют три основных метода: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последовательного счета;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сравнения и вычитания (поразрядного взвешивания);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считывания.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При использовании метода последовательного счета происходит последовательное во времени сравнение измеряемой величины с известной, увеличивающейся или уменьшающейся скачками. Каждый скачок равняется шагу квантования по уровню.</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При реализации метода поразрядного взвешивания происходит последовательное во времени сравнение измеряемой величины с известной, изменяющейся скачками по определенному алгоритму.</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lastRenderedPageBreak/>
        <w:t>В методе считывания производится одновременное сравнение неизвестной величины с известными значениями, воспроизводимыми набором мер. Погрешности цифровых измерительных приборов. На работу цифровых измерительных приборов в основном влияют два типа погрешностей: статические и динамические.</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Статическая погрешность состоит из четырех составляющих:</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погрешности дискретизации;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погрешности квантования;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погрешности порога чувствительности;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внешних влияний на ЦИП.</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При этом надо иметь в виду, что последние три погрешности вызваны только несовершенством прибора и являются инструментальными погрешностями. Различными конструкторскими и инженерными разработками эти составляющие статической погрешности можно свести до минимума вплоть до полного исключения. Погрешность дискретизации является методической погрешностью. Это означает, что никакие технические усовершенствования в принципе не могут убрать эту погрешность, поскольку она присуща природе метода цифрового преобразования сигнала.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Динамические погрешности в цифровых измерительных приборах делятся на погрешности первого и второго рода.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К динамическим погрешностям первого рода относят погрешности, связанные с инерционностью отдельных составляющих цифрового измерительного прибора. Аналогично случаю статической погрешности, используя современную материально-техническую базу, возможно устранение этого рода погрешности путем совершенствования конструкции прибора и отдельных его частей.</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Динамические погрешности второго рода возникают из-за того, что измерение происходит в момент времени t2, а результат его приписывают либо к t1, либо к t3. Такую погрешность измерения устранить в принципе нельзя.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Измерительные генераторы – это экранированные источники электрических сигналов, параметры которых могут регулироваться в определенных пределах.</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Радиотехнические схемы, приборы должны настраиваться и проверяться в реальных условиях работы. Для этого на их входы подаются испытательные сигналы нужных частот, форм, амплитуд. Приборы, создающие сигналы известной частоты, амплитуды и формы, называются измерительными генераторами.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Они бывают низкочастотными (до 300 кГц), высокочастотными (300 кГц-300 МГц), СВЧ (300МГц-), качающейся частоты, импульсные, специальной формы, шумовые.</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xml:space="preserve">Современные генераторы сигналов специальной формы – весьма универсальные измерительные устройства с широким частотным диапазоном, большим числом форм выходных сигналов и электронным </w:t>
      </w:r>
      <w:r w:rsidRPr="00A13AA2">
        <w:rPr>
          <w:rFonts w:ascii="Times New Roman" w:eastAsia="Times New Roman" w:hAnsi="Times New Roman" w:cs="Times New Roman"/>
          <w:color w:val="000099"/>
          <w:sz w:val="28"/>
          <w:szCs w:val="28"/>
          <w:lang w:val="kk-KZ" w:eastAsia="ru-RU"/>
        </w:rPr>
        <w:lastRenderedPageBreak/>
        <w:t>управлением параметрами сигналов. Иногда эти генераторы могут заменить низкочастотные, инфразвуковые, высокочастотные и импульсные генераторы. Управление генераторами можно осуществить вручную от клавиатуры на передней панели с индикацией на табло и дистанционно. В последнем случае возможно программирование частоты, формы и величины ступенчатого ослабления выходного сигнала.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Генераторы шумовых сигналов – измерительные генераторы, выходное напряжение которых представляет собой реализацию случайного процесса с контролируемыми статистическими характеристиками. К генераторам шумовых сигналов также относят генераторы случайных импульсных последовательностей. При этом случайными параметрами выходного напряжения являются моменты появления очередных импульсов и промежутка между ними.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Цифро-аналоговый преобразователь (ЦАП) — устройство для преобразования цифрового (обычно двоичного) кода в аналоговый сигнал (ток, напряжение или заряд). Цифро-аналоговые преобразователи являются интерфейсом между дискретным цифровым миром и аналоговыми сигналами.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Аналого-цифровой преобразователь (АЦП) производит обратную операцию.</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Звуковой ЦАП обычно получает на вход цифровой сигнал в импульсно-кодовой модуляции (англ. PCM, pulse-code modulation). Задача преобразования различных сжатых форматов в PCM выполняется соответствующими кодеками.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ЦАП применяется всегда, когда надо преобразовать сигнал из цифрового представления в аналоговое, например, в проигрывателях компакт-дисков (Audio CD).</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Типы ЦАП. Наиболее общие типы электронных ЦАП:</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Широтно-импульсный модулятор — простейший тип ЦАП. Стабильный источник тока или напряжения периодически включается на время, пропорциональное преобразуемому цифровому коду, далее полученная импульсная последовательность фильтруется аналоговым фильтром нижних частот. Такой способ часто используется для управления скоростью электромоторов, а также становится популярным в Hi-Fi-аудиотехнике;</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ЦАП передискретизации, такие как дельта-сигма-ЦАП, основаны на изменяемой плотности импульсов. Передискретизация позволяет использовать ЦАП с меньшей разрядностью для достижения большей разрядности итогового преобразования; часто дельта-сигма ЦАП строится на основе простейшего однобитного ЦАП, который является практически линейным. На ЦАП малой разрядности поступает импульсный сигнал с модулированной плотностью импульсов (c постоянной длительностью импульса, но с изменяемой скважностью), создаваемый с использованием отрицательной обратной связи. Отрицательная обратная связь выступает в роли фильтра верхних частот для шума квантования.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lastRenderedPageBreak/>
        <w:t>Большинство ЦАП большой разрядности (более 16 бит) построены на этом принципе вследствие его высокой линейности и низкой стоимости. Быстродействие дельта-сигма ЦАП достигает сотни тысяч отсчетов в секунду, разрядность — до 24 бит. Для генерации сигнала с модулированной плотностью импульсов может быть использован простой дельта-сигма модулятор первого порядка или более высокого порядка как MASH (англ. Multi stage noise SHaping). С увеличением частоты передискретизации смягчаются требования, предъявляемые к выходному фильтру низких частот и улучшается подавление шума квантования;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ЦАП взвешивающего типа, в котором каждому биту преобразуемого двоичного кода соответствует резистор или источник тока, подключенный на общую точку суммирования. Сила тока источника (проводимость резистора) пропорциональна весу бита, которому он соответствует. Таким образом, все ненулевые биты кода суммируются с весом. Взвешивающий метод один из самых быстрых, но ему свойственна низкая точность из-за необходимости наличия набора множества различных прецизионных источников или резисторов и непостоянного импеданса. По этой причине взвешивающие ЦАП имеют разрядность не более восьми бит;</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ЦАП лестничного типа (цепная R-2R-схема). В R-2R-ЦАП значения создаются в специальной схеме, состоящей из резисторов с сопротивлениями R и 2R, называемой матрицей постоянного импеданса, которая имеет два вида включения: прямое — матрица токов и инверсное — матрица напряжений. Применение одинаковых резисторов позволяет существенно улучшить точность по сравнению с обычным взвешивающим ЦАП, так как сравнительно просто изготовить набор прецизионных элементов с одинаковыми параметрами. ЦАП типа R-2R позволяют отодвинуть ограничения по разрядности. С лазерной подгонкой резисторов на одной подложке достигается точность 20-22 бита. Основное время на преобразование тратится в операционном усилителе, поэтому он должен иметь максимальное быстродействие. Быстродействие ЦАП единицы микросекунд и ниже (то есть наносекунды)</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3 Основные методы измерения мощности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Для измерения мощности в электрических цепях на высоких и сверхвысоких частотах используются различные методы. В цепях с током промышленной частоты измеряют мощность с использованием электродинамических ваттметров. В электрических цепях с током высокой или сверхвысокой частоты активную мощность можно измерить с помощью таких сигналов, как радиоимпульсы или видеоимпульсы.</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xml:space="preserve">Для измерения поглощаемой мощности применяется метод вольтметра и амперметра. Этот метод эффективен в тех случаях, когда напряжения на нагрузке и вольтметре равны. На практике для измерения мощности </w:t>
      </w:r>
      <w:r w:rsidRPr="00A13AA2">
        <w:rPr>
          <w:rFonts w:ascii="Times New Roman" w:eastAsia="Times New Roman" w:hAnsi="Times New Roman" w:cs="Times New Roman"/>
          <w:color w:val="000099"/>
          <w:sz w:val="28"/>
          <w:szCs w:val="28"/>
          <w:lang w:val="kk-KZ" w:eastAsia="ru-RU"/>
        </w:rPr>
        <w:lastRenderedPageBreak/>
        <w:t>радиопередатчиков, генераторов, усилителей и иных источников энергии применяют один прибор — либо вольтметр, либо амперметр.</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Для определения мощности также подходят терморезисторы, этот метод называют термисторным методом. В основе этого метода лежат измерения сопротивления термистора, которое изменяется под воздействием мощности сверхвысоких частот. Термистор представляет собой диск или бусинку, изготовленную из смеси никеля, кобальта и марганца. Термисторы имеют высокую чувствительность, поэтому они находят широкое применение для измерения малых мощностей.</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Температурный коэффициент термисторов является отрицательным. Это связано с тем, что для производства этих устройств применяются полупроводниковые материалы. Для термисторов характерна зависимость чувствительности и сопротивления от поглощаемой мощности.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Термисторный метод измерения мощности также называют болометрическим, поскольку для получения данных могут использованы болометры — приборы, представляющие собой заключенную в заполненный инертный газом баллончик нить из платины или вольфрама. В отличие от термисторов, эти устройства обладают положительным температурным коэффициентом. Для подключения к измерительной схеме в приборе предусмотрены припаянные к нити выводы.</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Оптические измерители мощности Ophir IRG отличаются высокой точностью и могут производить замеры в диапазоне от пиковатт до 3 Вт. В отличие от большинства оптических измерителей мощности указанные модели могут определять характеристики как атмосферных (free space) лучей, так и волоконно-спаренных лучей. Поскольку пучки лучей передаются по воздуху (от волокна к приемнику) в спаренной форме, ошибки измерений, обусловленные неверным соединением волокна, отсутствуют. Оптические измерители мощности PD300-IRG и 3A-IS-IRG совместимы со всеми измерителями Ophir и компьютерными интерфейсами.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Особенности:</w:t>
      </w:r>
    </w:p>
    <w:p w:rsidR="00A13AA2" w:rsidRPr="00A13AA2" w:rsidRDefault="00A13AA2" w:rsidP="00A13AA2">
      <w:pPr>
        <w:spacing w:after="0" w:line="240" w:lineRule="auto"/>
        <w:ind w:left="720" w:hanging="360"/>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Измерения атмосферных и оптоволоконных параметров;</w:t>
      </w:r>
    </w:p>
    <w:p w:rsidR="00A13AA2" w:rsidRPr="00A13AA2" w:rsidRDefault="00A13AA2" w:rsidP="00A13AA2">
      <w:pPr>
        <w:spacing w:after="0" w:line="240" w:lineRule="auto"/>
        <w:ind w:left="720" w:hanging="360"/>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Очень широкий динамический диапазон;</w:t>
      </w:r>
    </w:p>
    <w:p w:rsidR="00A13AA2" w:rsidRPr="00A13AA2" w:rsidRDefault="00A13AA2" w:rsidP="00A13AA2">
      <w:pPr>
        <w:spacing w:after="0" w:line="240" w:lineRule="auto"/>
        <w:ind w:left="720" w:hanging="360"/>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Поставляется с вариантами входящей или исходящей фильтрации;</w:t>
      </w:r>
    </w:p>
    <w:p w:rsidR="00A13AA2" w:rsidRPr="00A13AA2" w:rsidRDefault="00A13AA2" w:rsidP="00A13AA2">
      <w:pPr>
        <w:spacing w:after="0" w:line="240" w:lineRule="auto"/>
        <w:ind w:left="720" w:hanging="360"/>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В продаже имеются оптоволоконные адаптеры;</w:t>
      </w:r>
    </w:p>
    <w:p w:rsidR="00A13AA2" w:rsidRPr="00A13AA2" w:rsidRDefault="00A13AA2" w:rsidP="00A13AA2">
      <w:pPr>
        <w:spacing w:after="0" w:line="240" w:lineRule="auto"/>
        <w:ind w:left="720" w:hanging="360"/>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Интегрирующий сферический фотометр для расходящихся пучков.</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val="kk-KZ" w:eastAsia="ru-RU"/>
        </w:rPr>
        <w:t>Контрольные вопросы</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val="kk-KZ"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val="kk-KZ" w:eastAsia="ru-RU"/>
        </w:rPr>
        <w:t>1 Метрология как наука</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2 Законодательные основы применения мультиметров</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3 Законодательные акты</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4 Цифровые измерительные приборы</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5 Из чего состоит статическая погрешность?</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6 Современные генераторы сигналов специальной формы</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7 Генераторы шумовых сигналов</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lastRenderedPageBreak/>
        <w:t>8 Цифро-аналоговый преобразователь (ЦАП)</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9 Типы ЦАП</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10 Основные методы измерения мощности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Контрольные задания для СРС</w:t>
      </w:r>
      <w:r w:rsidRPr="00A13AA2">
        <w:rPr>
          <w:rFonts w:ascii="Times New Roman" w:eastAsia="Times New Roman" w:hAnsi="Times New Roman" w:cs="Times New Roman"/>
          <w:color w:val="000099"/>
          <w:sz w:val="28"/>
          <w:szCs w:val="28"/>
          <w:lang w:val="kk-KZ"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val="kk-KZ" w:eastAsia="ru-RU"/>
        </w:rPr>
        <w:t>1 Измерительные технологии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val="kk-KZ" w:eastAsia="ru-RU"/>
        </w:rPr>
        <w:t>2 Правовая, организационная и техническая база</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val="kk-KZ" w:eastAsia="ru-RU"/>
        </w:rPr>
        <w:t>3 Разновидности средств измерений (СИ)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val="kk-KZ" w:eastAsia="ru-RU"/>
        </w:rPr>
        <w:t>4 Погрешности и класс точности СИ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Тема 15. Стандартизация и сертификация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План лекций:</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1. Основные  понятия термины и определения;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2. Законодательство стандартизации.</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1 Основные  понятия термины и определения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Сертификат соответствия (далее — сертификат) — документ, выданный по правилам системы сертификации для подтверждения соответствия сертифицированной продукции (услуги), установленным требованиям.</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Содержание сертификата определяется в системе в соответствие с избранной схемой сертификации и категорией заявителя (изготовитель, продавец, исполнитель). В любом случае сертификат должен содержать:</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1.    </w:t>
      </w:r>
      <w:r w:rsidRPr="00A13AA2">
        <w:rPr>
          <w:rFonts w:ascii="Times New Roman" w:eastAsia="Times New Roman" w:hAnsi="Times New Roman" w:cs="Times New Roman"/>
          <w:color w:val="000099"/>
          <w:sz w:val="28"/>
          <w:szCs w:val="28"/>
          <w:lang w:val="kk-KZ" w:eastAsia="ru-RU"/>
        </w:rPr>
        <w:t>указание о системе сертификации и органе, выдавшем сертификат;</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2.  регистрационный номер;</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3.  срок действия;</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4.  подпись руководителя и печать органа по сертификации;</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5.  кому выдан сертификат;</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6.  наименование товара;</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7.  форму проверки соответствия (проверка производства, испытание типовых представителей, испытаний выборки из партии товара, испытание каждого изделия);</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8.  ссылку на нормативный документ, которому соответствует товар (партия);</w:t>
      </w:r>
    </w:p>
    <w:p w:rsidR="00A13AA2" w:rsidRPr="00A13AA2" w:rsidRDefault="00A13AA2" w:rsidP="00A13AA2">
      <w:pPr>
        <w:spacing w:after="0" w:line="240" w:lineRule="auto"/>
        <w:ind w:firstLine="426"/>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9.  порядок маркировки товара (тары, упаковки, документации) Знаком соответствия.</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Получение сертификата имеет смысл при условии, что он признается той стороной, в интересах которой проводится сертификация.</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Когда этот термин применяется к продукции, и с его помощью устанавливается изготовитель данного товара (страна, название фирмы, ее юридический адрес), такой вид сертификата называется сертификатом происхождения. Кроме этого выделяют еще несколько видов сертификатов:</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1.    </w:t>
      </w:r>
      <w:r w:rsidRPr="00A13AA2">
        <w:rPr>
          <w:rFonts w:ascii="Times New Roman" w:eastAsia="Times New Roman" w:hAnsi="Times New Roman" w:cs="Times New Roman"/>
          <w:color w:val="000099"/>
          <w:sz w:val="28"/>
          <w:szCs w:val="28"/>
          <w:lang w:val="kk-KZ" w:eastAsia="ru-RU"/>
        </w:rPr>
        <w:t>гигиенический сертификат;</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2.  сертификат качества;</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lastRenderedPageBreak/>
        <w:t>3.  сертификат безопасности;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4.  карантинный сертификат.</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Наряду с сертификатом существует Знак соответствия — зарегистрированный в установленном порядке, которым по правилам, установленным в данной системе сертификации, подтверждается соответствие маркированной им продукции установленным требованиям.</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Нормативный документ — документ, устанавливающий правила, общие принципы или характеристики, касающиеся различных видов деятельности или их результатов. Нормативный документ охватывает такие понятия, как стандарты и иные нормативные документы по стандартизации, нормы, правила, своды правил, регламенты и другие документы, соответствующие основному определению.</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Стандарт — документ, в котором в целях добровольного многократного использования устанавливаются характеристики продукции, правила осуществления и характеристики процессов производства, эксплуатации, хранения, перевозки, реализации и утилизации, выполнения работ или оказания услуг. Стандарт также может содержать требования к терминологии, символике, упаковке, маркировке или этикеткам и правилам их нанесения;</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Международный стандарт — стандарт, принятый международной организацией;</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Национальный стандарт — стандарт, утвержденный национальным органом Российской Федерации но стандартизации;</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Комплекс стандартов — совокупность взаимосвязанных стандартов, объединенных общей целевой направленностью и устанавливающих согласованные требования к взаимосвязанным объектам стандартизации.</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Регламент — документ, содержащий обязательные правовые нормы и принятый органами власти.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Техническое регулирование — правовое регулирование отношений в области установления, применения и исполнения обязательных требований к продукции, процессам производства, эксплуатации, хранения, перевозки, реализации и утилизации, а также в области установления и применения на добровольной основе требований к продукции, процессам производства, эксплуатации, хранения, перевозки, реализации и утилизации, выполнению работ или оказанию услуг и правовое регулирование отношений в области оценки соответствия.</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Технический регламент — документ, который принят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устанавливает обязательные для применения и исполнения требования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lastRenderedPageBreak/>
        <w:t>Международная стандартизация — стандартизация, участие в которой открыто для соответствующих органов всех стран.</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Региональная стандартизация — стандартизация, участие в которой открыто для соответствующих органов стран только одного географического или экономического региона мира.</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Национальная стандартизация — стандартизация, которая проводится на уровне одной страны.</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Безопасность — отсутствие недопустимого риска, связанного с возможностью нанесения ущерба.</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Охрана здоровья людей — защита здоровья людей от неблагоприятного воздействия продукции, работ (процессов) и услуг, окружающей среды.</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Охрана окружающей среды — защита окружающей среды от неблагоприятного воздействия продукции, работ (процессов) и услуг.</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Совместимость — пригодность продукции, процессов и услуг к совместному, не вызывающему нежелательных взаимодействий, использованию при заданных условиях для выполнения установленных требований.</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Взаимозаменяемость — пригодность одного изделия, процесса, услуги для использования вместо другого изделия, процесса, услуги в целях выполнения одних и тех же требований.</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Унификация — выбор оптимального числа разновидностей продукции, процессов и услуг, значений их параметров и размеров.</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Применение стандарта — использование стандарта его пользователями с выполнением требований, установленных в стандарте, в соответствии с областью его распространения и сферой действия.</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Пользователь стандарта — юридическое или физическое лицо, применяющее стандарт в своей производственной, научно-исследовательской, опытно-конструкторской, технологической, учебно-педагогической и других видах деятельности.</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Отрасль — совокупность субъектов хозяйственной деятельности независимо от их ведомственной принадлежности и форм собственности, разрабатывающих и (или) производящих продукцию (выполняющих работы и оказывающих услуги) определенных видов, которые имеют однородное потребительное или функциональное назначение.</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Правила (ПР) — документ в области стандартизации, метрологии, сертификации, аккредитации, устанавливающий обязательные для применения организационно-технические и (или) общетехнические положения, порядки (правила процедуры), методы (способы, приемы) выполнения работ соответствующих направлений, а также обязательные требования к оформлению результатов этих работ.</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t>2 Законодательство стандартизации</w:t>
      </w:r>
    </w:p>
    <w:p w:rsidR="00A13AA2" w:rsidRPr="00A13AA2" w:rsidRDefault="00A13AA2" w:rsidP="00A13AA2">
      <w:pPr>
        <w:spacing w:after="0" w:line="240" w:lineRule="auto"/>
        <w:ind w:firstLine="425"/>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6"/>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val="kk-KZ" w:eastAsia="ru-RU"/>
        </w:rPr>
        <w:lastRenderedPageBreak/>
        <w:t>1.  Законодательство о стандартизации и сертификации состоит из настоящего Закона и иных законодательных актов Республики Казахстан.</w:t>
      </w:r>
    </w:p>
    <w:p w:rsidR="00A13AA2" w:rsidRPr="00A13AA2" w:rsidRDefault="00A13AA2" w:rsidP="00A13AA2">
      <w:pPr>
        <w:spacing w:after="0" w:line="240" w:lineRule="auto"/>
        <w:ind w:firstLine="426"/>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2.    </w:t>
      </w:r>
      <w:r w:rsidRPr="00A13AA2">
        <w:rPr>
          <w:rFonts w:ascii="Times New Roman" w:eastAsia="Times New Roman" w:hAnsi="Times New Roman" w:cs="Times New Roman"/>
          <w:color w:val="000099"/>
          <w:sz w:val="28"/>
          <w:szCs w:val="28"/>
          <w:lang w:val="kk-KZ" w:eastAsia="ru-RU"/>
        </w:rPr>
        <w:t>Отношения в области стандартизации и сертификации между органами  управления, юридическими и физическими лицами, расположенными на территории Республики Казахстан, а также между ними и юридическими и физическими лицами других государств регулируются:</w:t>
      </w:r>
    </w:p>
    <w:p w:rsidR="00A13AA2" w:rsidRPr="00A13AA2" w:rsidRDefault="00A13AA2" w:rsidP="00A13AA2">
      <w:pPr>
        <w:spacing w:after="0" w:line="240" w:lineRule="auto"/>
        <w:ind w:firstLine="426"/>
        <w:jc w:val="both"/>
        <w:rPr>
          <w:rFonts w:ascii="Times New Roman" w:eastAsia="Times New Roman" w:hAnsi="Times New Roman" w:cs="Times New Roman"/>
          <w:color w:val="0000C4"/>
          <w:sz w:val="28"/>
          <w:szCs w:val="28"/>
          <w:lang w:eastAsia="ru-RU"/>
        </w:rPr>
      </w:pPr>
      <w:r w:rsidRPr="00A13AA2">
        <w:rPr>
          <w:rFonts w:ascii="Times New Roman" w:eastAsia="Times New Roman" w:hAnsi="Times New Roman" w:cs="Times New Roman"/>
          <w:color w:val="000099"/>
          <w:sz w:val="28"/>
          <w:szCs w:val="28"/>
          <w:lang w:eastAsia="ru-RU"/>
        </w:rPr>
        <w:t>-       </w:t>
      </w:r>
      <w:r w:rsidRPr="00A13AA2">
        <w:rPr>
          <w:rFonts w:ascii="Times New Roman" w:eastAsia="Times New Roman" w:hAnsi="Times New Roman" w:cs="Times New Roman"/>
          <w:color w:val="000099"/>
          <w:sz w:val="28"/>
          <w:szCs w:val="28"/>
          <w:lang w:val="kk-KZ" w:eastAsia="ru-RU"/>
        </w:rPr>
        <w:t>при разработке, производстве, реализации и эксплуатации продукции, выполнении работ и оказании услуг на территории Республики Казахстан, а также при поставках продукции на ее территорию;</w:t>
      </w:r>
    </w:p>
    <w:p w:rsidR="00A13AA2" w:rsidRPr="00A13AA2" w:rsidRDefault="00A13AA2" w:rsidP="00A13AA2">
      <w:pPr>
        <w:spacing w:after="0" w:line="240" w:lineRule="auto"/>
        <w:ind w:firstLine="426"/>
        <w:jc w:val="both"/>
        <w:rPr>
          <w:rFonts w:ascii="Times New Roman" w:eastAsia="Times New Roman" w:hAnsi="Times New Roman" w:cs="Times New Roman"/>
          <w:color w:val="000099"/>
          <w:sz w:val="28"/>
          <w:szCs w:val="28"/>
          <w:lang w:eastAsia="ru-RU"/>
        </w:rPr>
      </w:pPr>
      <w:r w:rsidRPr="00A13AA2">
        <w:rPr>
          <w:rFonts w:ascii="Times New Roman" w:eastAsia="Times New Roman" w:hAnsi="Times New Roman" w:cs="Times New Roman"/>
          <w:color w:val="000099"/>
          <w:sz w:val="28"/>
          <w:szCs w:val="28"/>
          <w:lang w:eastAsia="ru-RU"/>
        </w:rPr>
        <w:t>-       </w:t>
      </w:r>
      <w:r w:rsidRPr="00A13AA2">
        <w:rPr>
          <w:rFonts w:ascii="Times New Roman" w:eastAsia="Times New Roman" w:hAnsi="Times New Roman" w:cs="Times New Roman"/>
          <w:color w:val="000099"/>
          <w:sz w:val="28"/>
          <w:szCs w:val="28"/>
          <w:lang w:val="kk-KZ" w:eastAsia="ru-RU"/>
        </w:rPr>
        <w:t>при поставках продукции в другие государства, выполнении на их территории работ и оказании услуг.</w:t>
      </w:r>
    </w:p>
    <w:p w:rsidR="00A13AA2" w:rsidRPr="00A13AA2" w:rsidRDefault="00A13AA2" w:rsidP="00A13AA2">
      <w:pPr>
        <w:spacing w:after="0" w:line="240" w:lineRule="auto"/>
        <w:ind w:firstLine="426"/>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3.  Если международными договорами Республики Казахстану установлены иные правила, чем те, которые содержатся в настоящем Законе, то применяются правила международных договоров.</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Контрольные вопросы:</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00"/>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1  Основные термины и понятия сертификации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2  Что такое сертификат?</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3  Содержание сертификата</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4  Что такое стандарт?</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5  Виды и понятия стандарта</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6  Что такое регламент?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7  Что такое стандартизация?</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8  Классификация стандартизаций</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9  Что такое безопасность и охрана здоровье людей?</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10 Законодательство стандартизации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 </w:t>
      </w:r>
    </w:p>
    <w:p w:rsidR="00A13AA2" w:rsidRPr="00A13AA2" w:rsidRDefault="00A13AA2" w:rsidP="00A13AA2">
      <w:pPr>
        <w:spacing w:after="0" w:line="240" w:lineRule="atLeast"/>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Контрольные задания для СРС</w:t>
      </w:r>
      <w:r w:rsidRPr="00A13AA2">
        <w:rPr>
          <w:rFonts w:ascii="Times New Roman" w:eastAsia="Times New Roman" w:hAnsi="Times New Roman" w:cs="Times New Roman"/>
          <w:color w:val="000099"/>
          <w:sz w:val="28"/>
          <w:szCs w:val="28"/>
          <w:lang w:val="kk-KZ" w:eastAsia="ru-RU"/>
        </w:rPr>
        <w:t>:</w:t>
      </w:r>
    </w:p>
    <w:p w:rsidR="00A13AA2" w:rsidRPr="00A13AA2" w:rsidRDefault="00A13AA2" w:rsidP="00A13AA2">
      <w:pPr>
        <w:spacing w:after="0" w:line="240" w:lineRule="atLeast"/>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eastAsia="ru-RU"/>
        </w:rPr>
        <w:t> </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1 Международное сотрудничество в области стандартизаций</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2 Информация о нормативных документах</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3 Государственная служба сертификации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both"/>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99"/>
          <w:sz w:val="28"/>
          <w:szCs w:val="28"/>
          <w:lang w:val="kk-KZ" w:eastAsia="ru-RU"/>
        </w:rPr>
        <w:t>4 Международные стандарты в области управления качеством продукции</w:t>
      </w:r>
      <w:r w:rsidRPr="00A13AA2">
        <w:rPr>
          <w:rFonts w:ascii="Times New Roman" w:eastAsia="Times New Roman" w:hAnsi="Times New Roman" w:cs="Times New Roman"/>
          <w:color w:val="000099"/>
          <w:sz w:val="28"/>
          <w:szCs w:val="28"/>
          <w:lang w:eastAsia="ru-RU"/>
        </w:rPr>
        <w:t>.</w:t>
      </w:r>
    </w:p>
    <w:p w:rsidR="00A13AA2" w:rsidRPr="00A13AA2" w:rsidRDefault="00A13AA2" w:rsidP="00A13AA2">
      <w:pPr>
        <w:spacing w:after="0" w:line="240" w:lineRule="auto"/>
        <w:ind w:firstLine="425"/>
        <w:jc w:val="center"/>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00"/>
          <w:sz w:val="28"/>
          <w:szCs w:val="28"/>
          <w:lang w:val="kk-KZ" w:eastAsia="ru-RU"/>
        </w:rPr>
        <w:t> </w:t>
      </w:r>
    </w:p>
    <w:p w:rsidR="00A13AA2" w:rsidRPr="00A13AA2" w:rsidRDefault="00A13AA2" w:rsidP="00A13AA2">
      <w:pPr>
        <w:spacing w:after="0" w:line="240" w:lineRule="auto"/>
        <w:ind w:firstLine="425"/>
        <w:jc w:val="center"/>
        <w:rPr>
          <w:rFonts w:ascii="Times New Roman" w:eastAsia="Times New Roman" w:hAnsi="Times New Roman" w:cs="Times New Roman"/>
          <w:color w:val="000000"/>
          <w:sz w:val="28"/>
          <w:szCs w:val="28"/>
          <w:lang w:eastAsia="ru-RU"/>
        </w:rPr>
      </w:pPr>
      <w:r w:rsidRPr="00A13AA2">
        <w:rPr>
          <w:rFonts w:ascii="Times New Roman" w:eastAsia="Times New Roman" w:hAnsi="Times New Roman" w:cs="Times New Roman"/>
          <w:color w:val="000000"/>
          <w:sz w:val="28"/>
          <w:szCs w:val="28"/>
          <w:lang w:val="kk-KZ" w:eastAsia="ru-RU"/>
        </w:rPr>
        <w:t> </w:t>
      </w:r>
    </w:p>
    <w:p w:rsidR="00A13AA2" w:rsidRPr="00A13AA2" w:rsidRDefault="00A13AA2" w:rsidP="00A13AA2">
      <w:pPr>
        <w:rPr>
          <w:rFonts w:ascii="Times New Roman" w:hAnsi="Times New Roman" w:cs="Times New Roman"/>
          <w:sz w:val="28"/>
          <w:szCs w:val="28"/>
        </w:rPr>
      </w:pPr>
    </w:p>
    <w:bookmarkEnd w:id="0"/>
    <w:p w:rsidR="002D0095" w:rsidRPr="00A13AA2" w:rsidRDefault="002D0095">
      <w:pPr>
        <w:rPr>
          <w:rFonts w:ascii="Times New Roman" w:hAnsi="Times New Roman" w:cs="Times New Roman"/>
          <w:sz w:val="28"/>
          <w:szCs w:val="28"/>
        </w:rPr>
      </w:pPr>
    </w:p>
    <w:sectPr w:rsidR="002D0095" w:rsidRPr="00A13A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D7E"/>
    <w:rsid w:val="002D0095"/>
    <w:rsid w:val="00A13AA2"/>
    <w:rsid w:val="00DF7D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A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A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3439</Words>
  <Characters>19605</Characters>
  <Application>Microsoft Office Word</Application>
  <DocSecurity>0</DocSecurity>
  <Lines>163</Lines>
  <Paragraphs>45</Paragraphs>
  <ScaleCrop>false</ScaleCrop>
  <Company/>
  <LinksUpToDate>false</LinksUpToDate>
  <CharactersWithSpaces>22999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2019-09-17T10:00:00Z</dcterms:created>
  <dcterms:modified xsi:type="dcterms:W3CDTF">2019-09-17T10:00:00Z</dcterms:modified>
</cp:coreProperties>
</file>